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A5" w:rsidRPr="008002A5" w:rsidRDefault="008002A5" w:rsidP="008002A5">
      <w:pPr>
        <w:spacing w:after="0" w:line="240" w:lineRule="auto"/>
        <w:jc w:val="both"/>
        <w:rPr>
          <w:rFonts w:ascii="Arial" w:eastAsia="Times New Roman" w:hAnsi="Arial" w:cs="Arial"/>
          <w:lang w:val="es-ES" w:eastAsia="es-ES"/>
        </w:rPr>
      </w:pPr>
    </w:p>
    <w:p w:rsidR="008002A5" w:rsidRDefault="008002A5" w:rsidP="006B13C4">
      <w:pPr>
        <w:contextualSpacing/>
        <w:jc w:val="center"/>
        <w:rPr>
          <w:rFonts w:ascii="Arial" w:eastAsia="Times New Roman" w:hAnsi="Arial" w:cs="Arial"/>
          <w:b/>
          <w:caps/>
          <w:lang w:val="es-ES" w:eastAsia="es-ES"/>
        </w:rPr>
      </w:pPr>
      <w:r w:rsidRPr="008002A5">
        <w:rPr>
          <w:rFonts w:ascii="Arial" w:eastAsia="Times New Roman" w:hAnsi="Arial" w:cs="Arial"/>
          <w:b/>
          <w:caps/>
          <w:lang w:val="es-ES" w:eastAsia="es-ES"/>
        </w:rPr>
        <w:t xml:space="preserve">Reglamento de Protección </w:t>
      </w:r>
      <w:r w:rsidR="006B13C4">
        <w:rPr>
          <w:rFonts w:ascii="Arial" w:eastAsia="Times New Roman" w:hAnsi="Arial" w:cs="Arial"/>
          <w:b/>
          <w:caps/>
          <w:lang w:val="es-ES" w:eastAsia="es-ES"/>
        </w:rPr>
        <w:t>Civil de la Ciudad de Monterrey</w:t>
      </w:r>
    </w:p>
    <w:p w:rsidR="006B13C4" w:rsidRPr="008002A5" w:rsidRDefault="006B13C4" w:rsidP="006B13C4">
      <w:pPr>
        <w:contextualSpacing/>
        <w:jc w:val="center"/>
        <w:rPr>
          <w:rFonts w:ascii="Arial" w:eastAsia="Calibri" w:hAnsi="Arial" w:cs="Arial"/>
          <w:b/>
        </w:rPr>
      </w:pPr>
      <w:bookmarkStart w:id="0" w:name="_GoBack"/>
      <w:bookmarkEnd w:id="0"/>
    </w:p>
    <w:tbl>
      <w:tblPr>
        <w:tblStyle w:val="Tablaconcuadrcula"/>
        <w:tblW w:w="0" w:type="auto"/>
        <w:tblLook w:val="04A0" w:firstRow="1" w:lastRow="0" w:firstColumn="1" w:lastColumn="0" w:noHBand="0" w:noVBand="1"/>
      </w:tblPr>
      <w:tblGrid>
        <w:gridCol w:w="4489"/>
        <w:gridCol w:w="4489"/>
      </w:tblGrid>
      <w:tr w:rsidR="008002A5" w:rsidRPr="008002A5" w:rsidTr="00DE06C8">
        <w:tc>
          <w:tcPr>
            <w:tcW w:w="4489" w:type="dxa"/>
          </w:tcPr>
          <w:p w:rsidR="008002A5" w:rsidRPr="008002A5" w:rsidRDefault="008002A5" w:rsidP="008002A5">
            <w:pPr>
              <w:jc w:val="center"/>
              <w:rPr>
                <w:rFonts w:ascii="Arial" w:eastAsia="Times New Roman" w:hAnsi="Arial" w:cs="Arial"/>
                <w:b/>
                <w:lang w:val="es-ES" w:eastAsia="es-ES"/>
              </w:rPr>
            </w:pPr>
            <w:r w:rsidRPr="008002A5">
              <w:rPr>
                <w:rFonts w:ascii="Arial" w:eastAsia="Times New Roman" w:hAnsi="Arial" w:cs="Arial"/>
                <w:b/>
                <w:lang w:val="es-ES" w:eastAsia="es-ES"/>
              </w:rPr>
              <w:t>DICE</w:t>
            </w:r>
          </w:p>
        </w:tc>
        <w:tc>
          <w:tcPr>
            <w:tcW w:w="4489" w:type="dxa"/>
          </w:tcPr>
          <w:p w:rsidR="008002A5" w:rsidRPr="008002A5" w:rsidRDefault="008002A5" w:rsidP="008002A5">
            <w:pPr>
              <w:jc w:val="center"/>
              <w:rPr>
                <w:rFonts w:ascii="Arial" w:eastAsia="Times New Roman" w:hAnsi="Arial" w:cs="Arial"/>
                <w:b/>
                <w:lang w:val="es-ES" w:eastAsia="es-ES"/>
              </w:rPr>
            </w:pPr>
            <w:r w:rsidRPr="008002A5">
              <w:rPr>
                <w:rFonts w:ascii="Arial" w:eastAsia="Times New Roman" w:hAnsi="Arial" w:cs="Arial"/>
                <w:b/>
                <w:lang w:val="es-ES" w:eastAsia="es-ES"/>
              </w:rPr>
              <w:t>DEBE DECIR</w:t>
            </w:r>
          </w:p>
        </w:tc>
      </w:tr>
      <w:tr w:rsidR="008002A5" w:rsidRPr="008002A5" w:rsidTr="00DE06C8">
        <w:trPr>
          <w:trHeight w:val="2426"/>
        </w:trPr>
        <w:tc>
          <w:tcPr>
            <w:tcW w:w="4489" w:type="dxa"/>
          </w:tcPr>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CAPÍTULO XXII</w:t>
            </w:r>
          </w:p>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DEL RECURSO DE RECONSIDERACIÓN</w:t>
            </w:r>
          </w:p>
          <w:p w:rsidR="008002A5" w:rsidRPr="008002A5" w:rsidRDefault="008002A5" w:rsidP="008002A5">
            <w:pPr>
              <w:jc w:val="both"/>
              <w:rPr>
                <w:rFonts w:ascii="Arial" w:eastAsia="Times New Roman" w:hAnsi="Arial" w:cs="Arial"/>
                <w:lang w:val="es-ES" w:eastAsia="es-ES"/>
              </w:rPr>
            </w:pPr>
          </w:p>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ARTÍCULO 108. La persona que tenga alguna informidad en contra de actos emitidos por las autoridades municipales respecto a la aplicación de este reglamentos y de más ordenamientos aplicables a la materia, podrán acudir al procedimiento administrativo establecido en el Reglamento que Regula el Procedimiento Único de Recurso de Inconformidad en el Municipio de Monterrey.</w:t>
            </w:r>
          </w:p>
          <w:p w:rsidR="008002A5" w:rsidRPr="008002A5" w:rsidRDefault="008002A5" w:rsidP="008002A5">
            <w:pPr>
              <w:jc w:val="both"/>
              <w:rPr>
                <w:rFonts w:ascii="Arial" w:eastAsia="Times New Roman" w:hAnsi="Arial" w:cs="Arial"/>
                <w:lang w:val="es-ES" w:eastAsia="es-ES"/>
              </w:rPr>
            </w:pPr>
          </w:p>
          <w:p w:rsidR="008002A5" w:rsidRPr="008002A5" w:rsidRDefault="008002A5" w:rsidP="008002A5">
            <w:pPr>
              <w:jc w:val="both"/>
              <w:rPr>
                <w:rFonts w:ascii="Arial" w:eastAsia="Times New Roman" w:hAnsi="Arial" w:cs="Arial"/>
                <w:lang w:val="es-ES" w:eastAsia="es-ES"/>
              </w:rPr>
            </w:pPr>
          </w:p>
        </w:tc>
        <w:tc>
          <w:tcPr>
            <w:tcW w:w="4489" w:type="dxa"/>
          </w:tcPr>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CAPÍTULO XXII</w:t>
            </w:r>
          </w:p>
          <w:p w:rsidR="008002A5" w:rsidRPr="008002A5" w:rsidRDefault="008002A5" w:rsidP="008002A5">
            <w:pPr>
              <w:jc w:val="both"/>
              <w:rPr>
                <w:rFonts w:ascii="Arial" w:eastAsia="Helvetica" w:hAnsi="Arial" w:cs="Arial"/>
                <w:b/>
                <w:color w:val="000000"/>
                <w:bdr w:val="nil"/>
                <w:lang w:eastAsia="es-MX"/>
              </w:rPr>
            </w:pPr>
            <w:r w:rsidRPr="008002A5">
              <w:rPr>
                <w:rFonts w:ascii="Arial" w:eastAsia="Helvetica" w:hAnsi="Arial" w:cs="Arial"/>
                <w:color w:val="000000"/>
                <w:bdr w:val="nil"/>
                <w:lang w:eastAsia="es-MX"/>
              </w:rPr>
              <w:t>DEL RECURSO ÚNICO DE INCONFORMIDAD</w:t>
            </w:r>
          </w:p>
          <w:p w:rsidR="008002A5" w:rsidRPr="008002A5" w:rsidRDefault="008002A5" w:rsidP="008002A5">
            <w:pPr>
              <w:jc w:val="both"/>
              <w:rPr>
                <w:rFonts w:ascii="Arial" w:eastAsia="Helvetica" w:hAnsi="Arial" w:cs="Arial"/>
                <w:color w:val="000000"/>
                <w:bdr w:val="nil"/>
                <w:lang w:eastAsia="es-MX"/>
              </w:rPr>
            </w:pPr>
          </w:p>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ARTÍCULO 108. El Procedimiento Administrativo Único de Recurso de Inconformidad procederá en contra de los actos emitidos por las autoridades del Municipio de Monterrey, con excepción de aquellos recursos cuyo procedimiento esté regulado en la Legislación Estatal.</w:t>
            </w:r>
          </w:p>
          <w:p w:rsidR="008002A5" w:rsidRPr="008002A5" w:rsidRDefault="008002A5" w:rsidP="008002A5">
            <w:pPr>
              <w:jc w:val="both"/>
              <w:rPr>
                <w:rFonts w:ascii="Arial" w:eastAsia="Helvetica" w:hAnsi="Arial" w:cs="Arial"/>
                <w:color w:val="000000"/>
                <w:bdr w:val="nil"/>
                <w:lang w:eastAsia="es-MX"/>
              </w:rPr>
            </w:pPr>
          </w:p>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ARTÍCULO 108 BIS.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8002A5" w:rsidRPr="008002A5" w:rsidRDefault="008002A5" w:rsidP="008002A5">
            <w:pPr>
              <w:jc w:val="both"/>
              <w:rPr>
                <w:rFonts w:ascii="Arial" w:eastAsia="Helvetica" w:hAnsi="Arial" w:cs="Arial"/>
                <w:color w:val="000000"/>
                <w:bdr w:val="nil"/>
                <w:lang w:eastAsia="es-MX"/>
              </w:rPr>
            </w:pPr>
          </w:p>
        </w:tc>
      </w:tr>
      <w:tr w:rsidR="008002A5" w:rsidRPr="008002A5" w:rsidTr="00DE06C8">
        <w:trPr>
          <w:trHeight w:val="3734"/>
        </w:trPr>
        <w:tc>
          <w:tcPr>
            <w:tcW w:w="4489" w:type="dxa"/>
          </w:tcPr>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CAPÍTULO XXIII</w:t>
            </w:r>
          </w:p>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DE LA REVISIÓN Y CONSULTA</w:t>
            </w:r>
          </w:p>
          <w:p w:rsidR="008002A5" w:rsidRPr="008002A5" w:rsidRDefault="008002A5" w:rsidP="008002A5">
            <w:pPr>
              <w:jc w:val="both"/>
              <w:rPr>
                <w:rFonts w:ascii="Arial" w:eastAsia="Times New Roman" w:hAnsi="Arial" w:cs="Arial"/>
                <w:lang w:val="es-ES" w:eastAsia="es-ES"/>
              </w:rPr>
            </w:pPr>
          </w:p>
          <w:p w:rsidR="008002A5" w:rsidRPr="008002A5" w:rsidRDefault="008002A5" w:rsidP="008002A5">
            <w:pPr>
              <w:jc w:val="both"/>
              <w:rPr>
                <w:rFonts w:ascii="Arial" w:eastAsia="Times New Roman" w:hAnsi="Arial" w:cs="Arial"/>
                <w:lang w:val="es-ES" w:eastAsia="es-ES"/>
              </w:rPr>
            </w:pPr>
            <w:r w:rsidRPr="008002A5">
              <w:rPr>
                <w:rFonts w:ascii="Arial" w:eastAsia="Times New Roman" w:hAnsi="Arial" w:cs="Arial"/>
                <w:lang w:val="es-ES" w:eastAsia="es-ES"/>
              </w:rPr>
              <w:t>ARTÍCULO 109. Para la revisión y consulta del presente Reglamento se realizará en términos del Reglamento Interior del Ayuntamiento de la Ciudad de Monterrey y demás disposiciones aplicables.</w:t>
            </w:r>
          </w:p>
        </w:tc>
        <w:tc>
          <w:tcPr>
            <w:tcW w:w="4489" w:type="dxa"/>
          </w:tcPr>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CAPÍTULO XXIII</w:t>
            </w:r>
          </w:p>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DEL PROCEDIMIENTO DE REVISIÓN Y CONSULTA</w:t>
            </w:r>
          </w:p>
          <w:p w:rsidR="008002A5" w:rsidRPr="008002A5" w:rsidRDefault="008002A5" w:rsidP="008002A5">
            <w:pPr>
              <w:jc w:val="both"/>
              <w:rPr>
                <w:rFonts w:ascii="Arial" w:eastAsia="Helvetica" w:hAnsi="Arial" w:cs="Arial"/>
                <w:color w:val="000000"/>
                <w:bdr w:val="nil"/>
                <w:lang w:eastAsia="es-MX"/>
              </w:rPr>
            </w:pPr>
          </w:p>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ARTÍCULO 109.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8002A5" w:rsidRPr="008002A5" w:rsidRDefault="008002A5" w:rsidP="008002A5">
            <w:pPr>
              <w:jc w:val="both"/>
              <w:rPr>
                <w:rFonts w:ascii="Arial" w:eastAsia="Helvetica" w:hAnsi="Arial" w:cs="Arial"/>
                <w:color w:val="000000"/>
                <w:bdr w:val="nil"/>
                <w:lang w:eastAsia="es-MX"/>
              </w:rPr>
            </w:pPr>
          </w:p>
          <w:p w:rsidR="008002A5" w:rsidRPr="008002A5" w:rsidRDefault="008002A5" w:rsidP="008002A5">
            <w:pPr>
              <w:jc w:val="both"/>
              <w:rPr>
                <w:rFonts w:ascii="Arial" w:eastAsia="Helvetica" w:hAnsi="Arial" w:cs="Arial"/>
                <w:color w:val="000000"/>
                <w:bdr w:val="nil"/>
                <w:lang w:eastAsia="es-MX"/>
              </w:rPr>
            </w:pPr>
            <w:r w:rsidRPr="008002A5">
              <w:rPr>
                <w:rFonts w:ascii="Arial" w:eastAsia="Helvetica" w:hAnsi="Arial" w:cs="Arial"/>
                <w:color w:val="000000"/>
                <w:bdr w:val="nil"/>
                <w:lang w:eastAsia="es-MX"/>
              </w:rPr>
              <w:t xml:space="preserve">ARTÍCULO 110. La Comisión deberá, en un plazo no mayor de 60 días hábiles, analizar, estudiar y dictaminar las propuestas. En caso de resultar fundadas las propuestas planteadas, se hará del conocimiento del Ayuntamiento para su </w:t>
            </w:r>
            <w:r w:rsidRPr="008002A5">
              <w:rPr>
                <w:rFonts w:ascii="Arial" w:eastAsia="Helvetica" w:hAnsi="Arial" w:cs="Arial"/>
                <w:color w:val="000000"/>
                <w:bdr w:val="nil"/>
                <w:lang w:eastAsia="es-MX"/>
              </w:rPr>
              <w:lastRenderedPageBreak/>
              <w:t>consideración. Se deberá informar al promovente la procedencia o improcedencia de sus propuestas</w:t>
            </w:r>
          </w:p>
        </w:tc>
      </w:tr>
      <w:tr w:rsidR="008002A5" w:rsidRPr="008002A5" w:rsidTr="00DE06C8">
        <w:trPr>
          <w:trHeight w:val="1217"/>
        </w:trPr>
        <w:tc>
          <w:tcPr>
            <w:tcW w:w="8978" w:type="dxa"/>
            <w:gridSpan w:val="2"/>
            <w:tcBorders>
              <w:bottom w:val="single" w:sz="4" w:space="0" w:color="auto"/>
            </w:tcBorders>
          </w:tcPr>
          <w:p w:rsidR="008002A5" w:rsidRPr="008002A5" w:rsidRDefault="008002A5" w:rsidP="008002A5">
            <w:pPr>
              <w:jc w:val="center"/>
              <w:rPr>
                <w:rFonts w:ascii="Arial" w:eastAsia="Helvetica" w:hAnsi="Arial" w:cs="Arial"/>
                <w:b/>
                <w:color w:val="000000"/>
                <w:bdr w:val="nil"/>
                <w:lang w:eastAsia="es-MX"/>
              </w:rPr>
            </w:pPr>
          </w:p>
          <w:p w:rsidR="008002A5" w:rsidRPr="008002A5" w:rsidRDefault="008002A5" w:rsidP="008002A5">
            <w:pPr>
              <w:jc w:val="center"/>
              <w:rPr>
                <w:rFonts w:ascii="Arial" w:eastAsia="Helvetica" w:hAnsi="Arial" w:cs="Arial"/>
                <w:b/>
                <w:color w:val="000000"/>
                <w:bdr w:val="nil"/>
                <w:lang w:eastAsia="es-MX"/>
              </w:rPr>
            </w:pPr>
            <w:r w:rsidRPr="008002A5">
              <w:rPr>
                <w:rFonts w:ascii="Arial" w:eastAsia="Helvetica" w:hAnsi="Arial" w:cs="Arial"/>
                <w:b/>
                <w:color w:val="000000"/>
                <w:bdr w:val="nil"/>
                <w:lang w:eastAsia="es-MX"/>
              </w:rPr>
              <w:t>TRANSITORIO</w:t>
            </w:r>
          </w:p>
          <w:p w:rsidR="008002A5" w:rsidRPr="008002A5" w:rsidRDefault="008002A5" w:rsidP="008002A5">
            <w:pPr>
              <w:jc w:val="center"/>
              <w:rPr>
                <w:rFonts w:ascii="Arial" w:eastAsia="Helvetica" w:hAnsi="Arial" w:cs="Arial"/>
                <w:b/>
                <w:color w:val="000000"/>
                <w:bdr w:val="nil"/>
                <w:lang w:eastAsia="es-MX"/>
              </w:rPr>
            </w:pPr>
          </w:p>
          <w:p w:rsidR="008002A5" w:rsidRPr="008002A5" w:rsidRDefault="008002A5" w:rsidP="008002A5">
            <w:pPr>
              <w:rPr>
                <w:rFonts w:ascii="Arial" w:eastAsia="Times New Roman" w:hAnsi="Arial" w:cs="Arial"/>
                <w:b/>
                <w:lang w:val="es-ES" w:eastAsia="es-ES"/>
              </w:rPr>
            </w:pPr>
            <w:r w:rsidRPr="008002A5">
              <w:rPr>
                <w:rFonts w:ascii="Arial" w:eastAsia="Times New Roman" w:hAnsi="Arial" w:cs="Arial"/>
                <w:lang w:val="es-ES" w:eastAsia="es-ES"/>
              </w:rPr>
              <w:t>ÚNICO. Las presentes reformas entrarán en vigor a partir de su publicación en el Periódico Oficial del Estado.</w:t>
            </w:r>
          </w:p>
        </w:tc>
      </w:tr>
    </w:tbl>
    <w:p w:rsidR="008002A5" w:rsidRPr="008002A5" w:rsidRDefault="008002A5" w:rsidP="008002A5">
      <w:pPr>
        <w:spacing w:after="0" w:line="240" w:lineRule="auto"/>
        <w:jc w:val="both"/>
        <w:rPr>
          <w:rFonts w:ascii="Arial" w:eastAsia="Times New Roman" w:hAnsi="Arial" w:cs="Arial"/>
          <w:b/>
          <w:color w:val="000000"/>
          <w:lang w:val="es-ES" w:eastAsia="es-MX"/>
        </w:rPr>
      </w:pPr>
    </w:p>
    <w:p w:rsidR="00DD2A47" w:rsidRPr="008002A5" w:rsidRDefault="00DD2A47">
      <w:pPr>
        <w:rPr>
          <w:rFonts w:ascii="Arial" w:hAnsi="Arial" w:cs="Arial"/>
          <w:lang w:val="es-ES"/>
        </w:rPr>
      </w:pPr>
    </w:p>
    <w:sectPr w:rsidR="00DD2A47" w:rsidRPr="00800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A5"/>
    <w:rsid w:val="006B13C4"/>
    <w:rsid w:val="008002A5"/>
    <w:rsid w:val="00DD2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2016-02-15T17:51:00Z</dcterms:created>
  <dcterms:modified xsi:type="dcterms:W3CDTF">2016-02-15T18:12:00Z</dcterms:modified>
</cp:coreProperties>
</file>